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7B73F" w14:textId="2B2F8E83"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3E543E">
        <w:rPr>
          <w:rFonts w:ascii="Arial" w:eastAsia="MS Mincho" w:hAnsi="Arial" w:cs="Arial"/>
          <w:b/>
          <w:sz w:val="24"/>
          <w:szCs w:val="24"/>
          <w:lang w:eastAsia="ja-JP"/>
        </w:rPr>
        <w:t>4236</w:t>
      </w:r>
      <w:bookmarkStart w:id="0" w:name="_GoBack"/>
      <w:bookmarkEnd w:id="0"/>
    </w:p>
    <w:p w14:paraId="60DDA56E" w14:textId="77777777"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78D90F1B" w14:textId="77777777" w:rsidR="006123C1" w:rsidRPr="008644B4" w:rsidRDefault="006123C1">
      <w:pPr>
        <w:pStyle w:val="CRCoverPage"/>
        <w:outlineLvl w:val="0"/>
        <w:rPr>
          <w:b/>
          <w:bCs/>
          <w:sz w:val="24"/>
        </w:rPr>
      </w:pPr>
    </w:p>
    <w:p w14:paraId="3A257FD6" w14:textId="1F32C705"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OLE_LINK57"/>
      <w:bookmarkStart w:id="2" w:name="OLE_LINK58"/>
      <w:r w:rsidR="0088127D">
        <w:rPr>
          <w:rFonts w:ascii="Arial" w:hAnsi="Arial" w:cs="Arial"/>
          <w:b/>
          <w:sz w:val="22"/>
          <w:szCs w:val="22"/>
        </w:rPr>
        <w:t xml:space="preserve">Reply to </w:t>
      </w:r>
      <w:r>
        <w:rPr>
          <w:rFonts w:ascii="Arial" w:hAnsi="Arial" w:cs="Arial"/>
          <w:b/>
          <w:bCs/>
          <w:sz w:val="22"/>
          <w:szCs w:val="22"/>
        </w:rPr>
        <w:t xml:space="preserve">LS on </w:t>
      </w:r>
      <w:r w:rsidR="00F403D4">
        <w:rPr>
          <w:rFonts w:ascii="Arial" w:hAnsi="Arial" w:cs="Arial"/>
          <w:b/>
          <w:bCs/>
          <w:sz w:val="22"/>
          <w:szCs w:val="22"/>
        </w:rPr>
        <w:t>further guidance to SA1 on</w:t>
      </w:r>
      <w:r>
        <w:rPr>
          <w:rFonts w:ascii="Arial" w:hAnsi="Arial" w:cs="Arial"/>
          <w:b/>
          <w:bCs/>
          <w:sz w:val="22"/>
          <w:szCs w:val="22"/>
        </w:rPr>
        <w:t xml:space="preserve"> Ambient IoT </w:t>
      </w:r>
      <w:r w:rsidR="00E85528">
        <w:rPr>
          <w:rFonts w:ascii="Arial" w:hAnsi="Arial" w:cs="Arial"/>
          <w:b/>
          <w:bCs/>
          <w:sz w:val="22"/>
          <w:szCs w:val="22"/>
        </w:rPr>
        <w:t>Se</w:t>
      </w:r>
      <w:r w:rsidR="00010F46">
        <w:rPr>
          <w:rFonts w:ascii="Arial" w:hAnsi="Arial" w:cs="Arial"/>
          <w:b/>
          <w:bCs/>
          <w:sz w:val="22"/>
          <w:szCs w:val="22"/>
        </w:rPr>
        <w:t>rvice</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w:t>
      </w:r>
      <w:bookmarkEnd w:id="3"/>
      <w:bookmarkEnd w:id="4"/>
      <w:bookmarkEnd w:id="5"/>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6" w:name="OLE_LINK45"/>
      <w:bookmarkStart w:id="7"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6"/>
      <w:bookmarkEnd w:id="7"/>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afffe"/>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5EC37FC" w14:textId="09BFA18C" w:rsidR="00401415" w:rsidRPr="008644B4" w:rsidRDefault="00401415" w:rsidP="008644B4">
      <w:pPr>
        <w:ind w:leftChars="100" w:left="200"/>
        <w:rPr>
          <w:rFonts w:ascii="Arial" w:hAnsi="Arial" w:cs="Arial"/>
          <w:lang w:eastAsia="zh-CN"/>
        </w:rPr>
      </w:pPr>
      <w:r w:rsidRPr="008644B4">
        <w:rPr>
          <w:rFonts w:ascii="Arial" w:hAnsi="Arial" w:cs="Arial"/>
          <w:lang w:eastAsia="zh-CN"/>
        </w:rPr>
        <w:t xml:space="preserve">Regarding business model, SA1 assumes an operator-managed model where the network operator provides subscription and network resources, e.g. the operator network owns the </w:t>
      </w:r>
      <w:proofErr w:type="spellStart"/>
      <w:r w:rsidRPr="008644B4">
        <w:rPr>
          <w:rFonts w:ascii="Arial" w:hAnsi="Arial" w:cs="Arial"/>
          <w:lang w:eastAsia="zh-CN"/>
        </w:rPr>
        <w:t>AIoT</w:t>
      </w:r>
      <w:proofErr w:type="spellEnd"/>
      <w:r w:rsidRPr="008644B4">
        <w:rPr>
          <w:rFonts w:ascii="Arial" w:hAnsi="Arial" w:cs="Arial"/>
          <w:lang w:eastAsia="zh-CN"/>
        </w:rPr>
        <w:t xml:space="preserve"> device and responsible for the on-board provisioning. It is in the spirit of SA1 to continue the discussion on the operator-managed model and other possible models. </w:t>
      </w:r>
    </w:p>
    <w:p w14:paraId="704E4D4D" w14:textId="76AC6F6A" w:rsidR="00401415" w:rsidRPr="008644B4" w:rsidRDefault="00401415" w:rsidP="008644B4">
      <w:pPr>
        <w:ind w:leftChars="100" w:left="200"/>
        <w:rPr>
          <w:rFonts w:ascii="Arial" w:hAnsi="Arial" w:cs="Arial"/>
          <w:lang w:eastAsia="zh-CN"/>
        </w:rPr>
      </w:pPr>
      <w:r w:rsidRPr="008644B4">
        <w:rPr>
          <w:rFonts w:ascii="Arial" w:hAnsi="Arial" w:cs="Arial"/>
          <w:lang w:eastAsia="zh-CN"/>
        </w:rPr>
        <w:t>For the end-point, there are three communication modes defined in TS22.369 clause 4.4, namely Ambient IoT Direct Network Communication, Ambient IoT Indirect Network Communication, and Ambient IoT device to UE direct Communication. The communication modes implied which entity as the end-point.</w:t>
      </w:r>
    </w:p>
    <w:p w14:paraId="328EBB36" w14:textId="5345C967" w:rsidR="00401415" w:rsidRPr="008644B4" w:rsidRDefault="00401415" w:rsidP="00E002FC">
      <w:pPr>
        <w:jc w:val="both"/>
        <w:rPr>
          <w:rFonts w:ascii="Arial" w:hAnsi="Arial" w:cs="Arial"/>
          <w:lang w:eastAsia="zh-CN"/>
        </w:rPr>
      </w:pPr>
    </w:p>
    <w:p w14:paraId="02C604B9" w14:textId="61B126B0"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lastRenderedPageBreak/>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3E624BCC" w14:textId="3DC449D7" w:rsidR="00962642" w:rsidRDefault="00401415" w:rsidP="008644B4">
      <w:pPr>
        <w:jc w:val="both"/>
        <w:rPr>
          <w:rFonts w:ascii="Arial" w:hAnsi="Arial" w:cs="Arial"/>
          <w:lang w:eastAsia="zh-CN"/>
        </w:rPr>
      </w:pPr>
      <w:r w:rsidRPr="008644B4">
        <w:rPr>
          <w:rFonts w:ascii="Arial" w:hAnsi="Arial" w:cs="Arial"/>
          <w:b/>
          <w:lang w:eastAsia="zh-CN"/>
        </w:rPr>
        <w:t xml:space="preserve">Answer from SA1: </w:t>
      </w:r>
      <w:r w:rsidR="00962642">
        <w:rPr>
          <w:rFonts w:ascii="Arial" w:hAnsi="Arial" w:cs="Arial"/>
          <w:lang w:eastAsia="zh-CN"/>
        </w:rPr>
        <w:t>TS 22.369 clause 4.2 has clearly described the characteristics of Ambient IoT as below.</w:t>
      </w:r>
    </w:p>
    <w:p w14:paraId="5C02AF4B" w14:textId="77777777" w:rsidR="00962642" w:rsidRPr="008644B4" w:rsidRDefault="00962642" w:rsidP="008644B4">
      <w:pPr>
        <w:ind w:leftChars="200" w:left="400"/>
        <w:rPr>
          <w:i/>
        </w:rPr>
      </w:pPr>
      <w:r w:rsidRPr="008644B4">
        <w:rPr>
          <w:i/>
        </w:rPr>
        <w:t>Not all Ambient IoT devices are the same. Nevertheless, Ambient IoT devices have the following characteristics.</w:t>
      </w:r>
    </w:p>
    <w:p w14:paraId="6E0BB672" w14:textId="77777777" w:rsidR="00962642" w:rsidRPr="008644B4" w:rsidRDefault="00962642" w:rsidP="008644B4">
      <w:pPr>
        <w:pStyle w:val="B1"/>
        <w:ind w:leftChars="342" w:left="968"/>
        <w:rPr>
          <w:i/>
        </w:rPr>
      </w:pPr>
      <w:r w:rsidRPr="008644B4">
        <w:rPr>
          <w:i/>
        </w:rPr>
        <w:t>-</w:t>
      </w:r>
      <w:r w:rsidRPr="008644B4">
        <w:rPr>
          <w:i/>
        </w:rPr>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p>
    <w:p w14:paraId="52632A53" w14:textId="77777777" w:rsidR="00962642" w:rsidRPr="008644B4" w:rsidRDefault="00962642" w:rsidP="008644B4">
      <w:pPr>
        <w:pStyle w:val="B1"/>
        <w:ind w:leftChars="342" w:left="968"/>
        <w:rPr>
          <w:i/>
        </w:rPr>
      </w:pPr>
      <w:r w:rsidRPr="008644B4">
        <w:rPr>
          <w:i/>
        </w:rPr>
        <w:t>-</w:t>
      </w:r>
      <w:r w:rsidRPr="008644B4">
        <w:rPr>
          <w:i/>
        </w:rPr>
        <w:tab/>
        <w:t>Low complexity. Ambient IoT devices are expected to have lower complexity, smaller size, reduced capabilities and lower power consumption than previously defined 3GPP IoT devices (e.g. NB-IoT/</w:t>
      </w:r>
      <w:proofErr w:type="spellStart"/>
      <w:r w:rsidRPr="008644B4">
        <w:rPr>
          <w:i/>
        </w:rPr>
        <w:t>eMTC</w:t>
      </w:r>
      <w:proofErr w:type="spellEnd"/>
      <w:r w:rsidRPr="008644B4">
        <w:rPr>
          <w:i/>
        </w:rPr>
        <w:t xml:space="preserve"> devices). Low complexity of Ambient IoT devices is also expected to be reflected in efficient use of network resources. In general, Ambient IoT applications will deploy very large numbers of Ambient IoT devices.</w:t>
      </w:r>
    </w:p>
    <w:p w14:paraId="415B962F" w14:textId="77777777" w:rsidR="00962642" w:rsidRPr="008644B4" w:rsidRDefault="00962642" w:rsidP="008644B4">
      <w:pPr>
        <w:pStyle w:val="B1"/>
        <w:ind w:leftChars="342" w:left="968"/>
        <w:rPr>
          <w:i/>
        </w:rPr>
      </w:pPr>
      <w:r w:rsidRPr="008644B4">
        <w:rPr>
          <w:i/>
        </w:rPr>
        <w:t>-</w:t>
      </w:r>
      <w:r w:rsidRPr="008644B4">
        <w:rPr>
          <w:i/>
        </w:rPr>
        <w:tab/>
        <w:t xml:space="preserve">Low data rates. Generally, Ambient IoT data transmissions contain only a low amount of data. </w:t>
      </w:r>
    </w:p>
    <w:p w14:paraId="719D4F5B" w14:textId="77777777" w:rsidR="00962642" w:rsidRPr="008644B4" w:rsidRDefault="00962642" w:rsidP="008644B4">
      <w:pPr>
        <w:pStyle w:val="B1"/>
        <w:ind w:leftChars="342" w:left="968"/>
        <w:rPr>
          <w:i/>
        </w:rPr>
      </w:pPr>
      <w:r w:rsidRPr="008644B4">
        <w:rPr>
          <w:i/>
        </w:rPr>
        <w:t>-</w:t>
      </w:r>
      <w:r w:rsidRPr="008644B4">
        <w:rPr>
          <w:i/>
        </w:rPr>
        <w:tab/>
        <w:t>Life span. Ambient IoT devices can be maintenance free and can have long life span (e.g. more than 10 years). However, the life span of an Ambient IoT device can also be relatively short, e.g. when tracking a package through a logistics chain.</w:t>
      </w:r>
    </w:p>
    <w:p w14:paraId="672DE4C0" w14:textId="2F1308CD" w:rsidR="00401415" w:rsidRDefault="00962642" w:rsidP="00962642">
      <w:pPr>
        <w:ind w:leftChars="380" w:left="760"/>
        <w:jc w:val="both"/>
        <w:rPr>
          <w:rFonts w:ascii="Arial" w:hAnsi="Arial" w:cs="Arial"/>
          <w:i/>
          <w:lang w:eastAsia="zh-CN"/>
        </w:rPr>
      </w:pPr>
      <w:r w:rsidRPr="008644B4">
        <w:rPr>
          <w:i/>
        </w:rPr>
        <w:t>-</w:t>
      </w:r>
      <w:r w:rsidRPr="008644B4">
        <w:rPr>
          <w:i/>
        </w:rPr>
        <w:tab/>
        <w:t xml:space="preserve">Communication characteristics. Ambient IoT devices can have a variety of communication characteristics, different from other IoT devices, based on how the Ambient IoT devices are powered by energy harvesting and whether / how the harvested energy can be stored. Ambient IoT devices will only be able to communicate when they have enough power. </w:t>
      </w:r>
      <w:r w:rsidRPr="008644B4">
        <w:rPr>
          <w:i/>
          <w:lang w:val="en-US"/>
        </w:rPr>
        <w:t xml:space="preserve">This can be an issue, especially when communication is initiated towards the Ambient IoT device, while it is not known whether the Ambient IoT device has enough power to receive this communication. For communications initiated by the Ambient IoT device, the Ambient IoT device cannot transmit data until it has harvested / stored enough energy. </w:t>
      </w:r>
      <w:r w:rsidRPr="008644B4">
        <w:rPr>
          <w:i/>
        </w:rPr>
        <w:t>Some Ambient IoT devices can be powered on demand when they need to communicate. Additionally, some Ambient IoT devices will be able to communicate on a regular basis and have communication characteristics similar to regular IoT devices.</w:t>
      </w:r>
      <w:r w:rsidRPr="008644B4">
        <w:rPr>
          <w:rFonts w:ascii="Arial" w:hAnsi="Arial" w:cs="Arial"/>
          <w:i/>
          <w:lang w:eastAsia="zh-CN"/>
        </w:rPr>
        <w:t xml:space="preserve"> </w:t>
      </w:r>
    </w:p>
    <w:p w14:paraId="66146A68" w14:textId="59B60301" w:rsidR="00962642" w:rsidRPr="008644B4" w:rsidRDefault="00962642" w:rsidP="00962642">
      <w:pPr>
        <w:jc w:val="both"/>
        <w:rPr>
          <w:rFonts w:ascii="Arial" w:hAnsi="Arial" w:cs="Arial"/>
          <w:lang w:eastAsia="zh-CN"/>
        </w:rPr>
      </w:pPr>
      <w:r>
        <w:rPr>
          <w:rFonts w:ascii="Arial" w:hAnsi="Arial" w:cs="Arial"/>
          <w:lang w:eastAsia="zh-CN"/>
        </w:rPr>
        <w:t>SA1 also would like to respond that the Ambient IoT requirements have been captured in TS22.369.</w:t>
      </w:r>
    </w:p>
    <w:p w14:paraId="75C815E0" w14:textId="265E85BC" w:rsidR="00B41EF4" w:rsidRPr="008644B4" w:rsidRDefault="00961EB4" w:rsidP="008644B4">
      <w:pPr>
        <w:pStyle w:val="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369E258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 xml:space="preserve">continue the work on Ambient IoT security, </w:t>
      </w:r>
      <w:proofErr w:type="gramStart"/>
      <w:r w:rsidR="0077683D" w:rsidRPr="003C0741">
        <w:rPr>
          <w:rFonts w:eastAsia="Batang"/>
          <w:color w:val="000000" w:themeColor="text1"/>
          <w:lang w:eastAsia="ko-KR"/>
        </w:rPr>
        <w:t>taking into account</w:t>
      </w:r>
      <w:proofErr w:type="gramEnd"/>
      <w:r w:rsidR="0077683D" w:rsidRPr="003C0741">
        <w:rPr>
          <w:rFonts w:eastAsia="Batang"/>
          <w:color w:val="000000" w:themeColor="text1"/>
          <w:lang w:eastAsia="ko-KR"/>
        </w:rPr>
        <w:t xml:space="preserve">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E940708" w:rsidR="006123C1" w:rsidRDefault="002F6A59">
      <w:r>
        <w:t>SA</w:t>
      </w:r>
      <w:r w:rsidR="002A04FF">
        <w:t>1</w:t>
      </w:r>
      <w:r>
        <w:t>#10</w:t>
      </w:r>
      <w:r w:rsidR="002A04FF">
        <w:t>8</w:t>
      </w:r>
      <w:r>
        <w:t xml:space="preserve"> </w:t>
      </w:r>
      <w:r>
        <w:tab/>
      </w:r>
      <w:r>
        <w:tab/>
      </w:r>
      <w:r w:rsidR="002A04FF">
        <w:t>November</w:t>
      </w:r>
      <w:r>
        <w:t xml:space="preserve"> 1</w:t>
      </w:r>
      <w:r w:rsidR="002A04FF">
        <w:t>8</w:t>
      </w:r>
      <w:r>
        <w:t xml:space="preserve">th – </w:t>
      </w:r>
      <w:r w:rsidR="002A04FF">
        <w:t>22</w:t>
      </w:r>
      <w:r>
        <w:t xml:space="preserve">th </w:t>
      </w:r>
      <w:proofErr w:type="gramStart"/>
      <w:r>
        <w:t xml:space="preserve">2024  </w:t>
      </w:r>
      <w:r w:rsidR="002A04FF">
        <w:tab/>
      </w:r>
      <w:proofErr w:type="gramEnd"/>
      <w:r w:rsidR="002A04FF">
        <w:t>Orlando</w:t>
      </w:r>
      <w:r>
        <w:t xml:space="preserve">, </w:t>
      </w:r>
      <w:r w:rsidR="002A04FF">
        <w:t>US</w:t>
      </w:r>
    </w:p>
    <w:p w14:paraId="596DEB2B" w14:textId="7B74C8BB" w:rsidR="006123C1" w:rsidRDefault="002F6A59">
      <w:r>
        <w:t>SA</w:t>
      </w:r>
      <w:r w:rsidR="002A04FF">
        <w:t>1</w:t>
      </w:r>
      <w:r>
        <w:t>#10</w:t>
      </w:r>
      <w:r w:rsidR="002A04FF">
        <w:t>9</w:t>
      </w:r>
      <w:r>
        <w:tab/>
      </w:r>
      <w:r>
        <w:tab/>
      </w:r>
      <w:r w:rsidR="002A04FF">
        <w:t>February</w:t>
      </w:r>
      <w:r>
        <w:t xml:space="preserve"> 1</w:t>
      </w:r>
      <w:r w:rsidR="002A04FF">
        <w:t>7</w:t>
      </w:r>
      <w:r>
        <w:t xml:space="preserve">th – </w:t>
      </w:r>
      <w:r w:rsidR="002A04FF">
        <w:t>21</w:t>
      </w:r>
      <w:r>
        <w:t xml:space="preserve">th </w:t>
      </w:r>
      <w:proofErr w:type="gramStart"/>
      <w:r>
        <w:t>202</w:t>
      </w:r>
      <w:r w:rsidR="002A04FF">
        <w:t>5</w:t>
      </w:r>
      <w:r>
        <w:t xml:space="preserve">  </w:t>
      </w:r>
      <w:r w:rsidR="002A04FF">
        <w:tab/>
      </w:r>
      <w:proofErr w:type="gramEnd"/>
      <w:r w:rsidR="002A04FF">
        <w:t>Athens</w:t>
      </w:r>
      <w:r>
        <w:t xml:space="preserve">, </w:t>
      </w:r>
      <w:r w:rsidR="002A04FF">
        <w:t>GR</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518A" w14:textId="77777777" w:rsidR="00AC6255" w:rsidRDefault="00AC6255" w:rsidP="005332D7">
      <w:pPr>
        <w:spacing w:after="0"/>
      </w:pPr>
      <w:r>
        <w:separator/>
      </w:r>
    </w:p>
  </w:endnote>
  <w:endnote w:type="continuationSeparator" w:id="0">
    <w:p w14:paraId="5BAF561B" w14:textId="77777777" w:rsidR="00AC6255" w:rsidRDefault="00AC6255"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宋体"/>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2B659" w14:textId="77777777" w:rsidR="00AC6255" w:rsidRDefault="00AC6255" w:rsidP="005332D7">
      <w:pPr>
        <w:spacing w:after="0"/>
      </w:pPr>
      <w:r>
        <w:separator/>
      </w:r>
    </w:p>
  </w:footnote>
  <w:footnote w:type="continuationSeparator" w:id="0">
    <w:p w14:paraId="392351C3" w14:textId="77777777" w:rsidR="00AC6255" w:rsidRDefault="00AC6255"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551"/>
    <w:multiLevelType w:val="hybridMultilevel"/>
    <w:tmpl w:val="EEAA979A"/>
    <w:lvl w:ilvl="0" w:tplc="3E68A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4"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5"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8"/>
  </w:num>
  <w:num w:numId="4">
    <w:abstractNumId w:val="10"/>
  </w:num>
  <w:num w:numId="5">
    <w:abstractNumId w:val="15"/>
  </w:num>
  <w:num w:numId="6">
    <w:abstractNumId w:val="5"/>
  </w:num>
  <w:num w:numId="7">
    <w:abstractNumId w:val="11"/>
  </w:num>
  <w:num w:numId="8">
    <w:abstractNumId w:val="7"/>
  </w:num>
  <w:num w:numId="9">
    <w:abstractNumId w:val="2"/>
  </w:num>
  <w:num w:numId="10">
    <w:abstractNumId w:val="13"/>
  </w:num>
  <w:num w:numId="11">
    <w:abstractNumId w:val="1"/>
  </w:num>
  <w:num w:numId="12">
    <w:abstractNumId w:val="6"/>
  </w:num>
  <w:num w:numId="13">
    <w:abstractNumId w:val="14"/>
  </w:num>
  <w:num w:numId="14">
    <w:abstractNumId w:val="16"/>
  </w:num>
  <w:num w:numId="15">
    <w:abstractNumId w:val="13"/>
  </w:num>
  <w:num w:numId="16">
    <w:abstractNumId w:val="9"/>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D0683"/>
    <w:rsid w:val="000E2CA3"/>
    <w:rsid w:val="000E5A6D"/>
    <w:rsid w:val="000F71DC"/>
    <w:rsid w:val="00127B0F"/>
    <w:rsid w:val="00141817"/>
    <w:rsid w:val="0014285B"/>
    <w:rsid w:val="00162A23"/>
    <w:rsid w:val="00196F3C"/>
    <w:rsid w:val="001E2EB3"/>
    <w:rsid w:val="002010D8"/>
    <w:rsid w:val="00210BD4"/>
    <w:rsid w:val="00224E75"/>
    <w:rsid w:val="0025334B"/>
    <w:rsid w:val="00264FBE"/>
    <w:rsid w:val="002A04FF"/>
    <w:rsid w:val="002B4CE1"/>
    <w:rsid w:val="002D047E"/>
    <w:rsid w:val="002E26BA"/>
    <w:rsid w:val="002E7FA4"/>
    <w:rsid w:val="002F6A59"/>
    <w:rsid w:val="003564AD"/>
    <w:rsid w:val="003632E3"/>
    <w:rsid w:val="0036504D"/>
    <w:rsid w:val="003873E6"/>
    <w:rsid w:val="003B2113"/>
    <w:rsid w:val="003C0741"/>
    <w:rsid w:val="003C5758"/>
    <w:rsid w:val="003E543E"/>
    <w:rsid w:val="003F22C0"/>
    <w:rsid w:val="00401415"/>
    <w:rsid w:val="00402E6D"/>
    <w:rsid w:val="004256EF"/>
    <w:rsid w:val="00435915"/>
    <w:rsid w:val="00465FDC"/>
    <w:rsid w:val="00483BDD"/>
    <w:rsid w:val="00493AC8"/>
    <w:rsid w:val="004B6835"/>
    <w:rsid w:val="005156DF"/>
    <w:rsid w:val="005231A8"/>
    <w:rsid w:val="005332D7"/>
    <w:rsid w:val="00535BFD"/>
    <w:rsid w:val="005660FF"/>
    <w:rsid w:val="005678F8"/>
    <w:rsid w:val="00573F9C"/>
    <w:rsid w:val="005B01F2"/>
    <w:rsid w:val="005C39F7"/>
    <w:rsid w:val="005D4D65"/>
    <w:rsid w:val="005E7F0A"/>
    <w:rsid w:val="006123C1"/>
    <w:rsid w:val="00626DFE"/>
    <w:rsid w:val="00643DCD"/>
    <w:rsid w:val="00664B26"/>
    <w:rsid w:val="006A34E5"/>
    <w:rsid w:val="006A4250"/>
    <w:rsid w:val="006C3EF5"/>
    <w:rsid w:val="006D63A4"/>
    <w:rsid w:val="006E434D"/>
    <w:rsid w:val="007011F5"/>
    <w:rsid w:val="00715675"/>
    <w:rsid w:val="00731F18"/>
    <w:rsid w:val="00743ABC"/>
    <w:rsid w:val="00762EF1"/>
    <w:rsid w:val="0077683D"/>
    <w:rsid w:val="007A044E"/>
    <w:rsid w:val="007A5B73"/>
    <w:rsid w:val="007B21EB"/>
    <w:rsid w:val="007C75E2"/>
    <w:rsid w:val="007F17A0"/>
    <w:rsid w:val="00834558"/>
    <w:rsid w:val="00853829"/>
    <w:rsid w:val="008644B4"/>
    <w:rsid w:val="00872745"/>
    <w:rsid w:val="0088127D"/>
    <w:rsid w:val="00897106"/>
    <w:rsid w:val="008A7657"/>
    <w:rsid w:val="008D2694"/>
    <w:rsid w:val="008E56F7"/>
    <w:rsid w:val="008F7E92"/>
    <w:rsid w:val="00961EB4"/>
    <w:rsid w:val="00962642"/>
    <w:rsid w:val="009F0242"/>
    <w:rsid w:val="00A206B2"/>
    <w:rsid w:val="00A212CE"/>
    <w:rsid w:val="00A52974"/>
    <w:rsid w:val="00A82A05"/>
    <w:rsid w:val="00A92BE3"/>
    <w:rsid w:val="00AB1BB9"/>
    <w:rsid w:val="00AC6255"/>
    <w:rsid w:val="00B41EF4"/>
    <w:rsid w:val="00B5259F"/>
    <w:rsid w:val="00B76AE2"/>
    <w:rsid w:val="00B8450C"/>
    <w:rsid w:val="00B91391"/>
    <w:rsid w:val="00BA5363"/>
    <w:rsid w:val="00C24C26"/>
    <w:rsid w:val="00C27FB5"/>
    <w:rsid w:val="00C3642E"/>
    <w:rsid w:val="00C44851"/>
    <w:rsid w:val="00C62534"/>
    <w:rsid w:val="00C6373E"/>
    <w:rsid w:val="00C712B9"/>
    <w:rsid w:val="00C86A64"/>
    <w:rsid w:val="00CA2A1A"/>
    <w:rsid w:val="00CC340C"/>
    <w:rsid w:val="00CC54BA"/>
    <w:rsid w:val="00CF6D6D"/>
    <w:rsid w:val="00D069B0"/>
    <w:rsid w:val="00D170A9"/>
    <w:rsid w:val="00D43497"/>
    <w:rsid w:val="00D44AE4"/>
    <w:rsid w:val="00D72235"/>
    <w:rsid w:val="00DB385F"/>
    <w:rsid w:val="00DC73A6"/>
    <w:rsid w:val="00DE2EB4"/>
    <w:rsid w:val="00DF5017"/>
    <w:rsid w:val="00E002FC"/>
    <w:rsid w:val="00E06C03"/>
    <w:rsid w:val="00E17674"/>
    <w:rsid w:val="00E21236"/>
    <w:rsid w:val="00E23E79"/>
    <w:rsid w:val="00E510D8"/>
    <w:rsid w:val="00E614D3"/>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152D"/>
    <w:rsid w:val="00FE19CF"/>
    <w:rsid w:val="00FE48E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36D9-0636-43B5-BE48-00A86469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OPPOr3</cp:lastModifiedBy>
  <cp:revision>6</cp:revision>
  <cp:lastPrinted>2002-04-23T07:10:00Z</cp:lastPrinted>
  <dcterms:created xsi:type="dcterms:W3CDTF">2024-11-08T07:13:00Z</dcterms:created>
  <dcterms:modified xsi:type="dcterms:W3CDTF">2024-11-08T11:11:00Z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